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«Педагогика и методика начального образования»,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 в профессиональной коммуникации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«Педагогика и методика начального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553.6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/Просвирнина Л.Г./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«Педагогика и методика начального образования»; форма обучения – 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профессиональной коммуникации»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«Иностранный язык в профессиональной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в профессиональной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результаты  научных  исследований  в  сфере  педагогической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для выбора методов в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результаты исследований для выбора методов в педагогической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педагогической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стили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требования к деловой переписке, особенности стилистики писем официального и неофициального назначения, социокультурные различия в оформлении корреспонденции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требования к ведению устных деловых разговоров в процессе профессионального взаимодействия на государственном и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выбирать на государственном и иностранном (-ых) языках коммуникативно приемлемые стили делового общения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применять информационно-коммуникационные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учитывать социокультурные различия в оформлении корреспонденции на государственном и иностранном (-ых) языках</w:t>
            </w:r>
          </w:p>
        </w:tc>
      </w:tr>
      <w:tr>
        <w:trPr>
          <w:trHeight w:hRule="exact" w:val="351.32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коммуникативно и культурно приемлемо вести устные деловые разговоры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процессе профессионального взаимодействия иностранном (-ых) языках</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способами выбора вербальных и невербальных средств взаимодействия с партнерами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владеть навыками деловой переписки в рамках профессиональной тематики, учитывая особенности стилистики официальных и неофициальных писем, учитывая социокультурные различия в формате корреспонденции на государственном и иностранном (-ых) языках</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владеть умениями выполнять перевод академических и профессиональных текстов с иностранного(-ых) на государственный язык</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«Иностранный язык в профессиональной коммуникации»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27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Научно-методическое сопровождение инновационных процессов</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профессионального образования</w:t>
            </w:r>
          </w:p>
          <w:p>
            <w:pPr>
              <w:jc w:val="center"/>
              <w:spacing w:after="0" w:line="240" w:lineRule="auto"/>
              <w:rPr>
                <w:sz w:val="22"/>
                <w:szCs w:val="22"/>
              </w:rPr>
            </w:pPr>
            <w:r>
              <w:rPr>
                <w:rFonts w:ascii="Times New Roman" w:hAnsi="Times New Roman" w:cs="Times New Roman"/>
                <w:color w:val="#000000"/>
                <w:sz w:val="22"/>
                <w:szCs w:val="22"/>
              </w:rPr>
              <w:t> Педагогические технологии в профессиональном образовании</w:t>
            </w:r>
          </w:p>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исследовательской работы обучающихся</w:t>
            </w:r>
          </w:p>
          <w:p>
            <w:pPr>
              <w:jc w:val="center"/>
              <w:spacing w:after="0" w:line="240" w:lineRule="auto"/>
              <w:rPr>
                <w:sz w:val="22"/>
                <w:szCs w:val="22"/>
              </w:rPr>
            </w:pPr>
            <w:r>
              <w:rPr>
                <w:rFonts w:ascii="Times New Roman" w:hAnsi="Times New Roman" w:cs="Times New Roman"/>
                <w:color w:val="#000000"/>
                <w:sz w:val="22"/>
                <w:szCs w:val="22"/>
              </w:rPr>
              <w:t> Проектирование инновационной деятельности современного педагога</w:t>
            </w:r>
          </w:p>
          <w:p>
            <w:pPr>
              <w:jc w:val="center"/>
              <w:spacing w:after="0" w:line="240" w:lineRule="auto"/>
              <w:rPr>
                <w:sz w:val="22"/>
                <w:szCs w:val="22"/>
              </w:rPr>
            </w:pPr>
            <w:r>
              <w:rPr>
                <w:rFonts w:ascii="Times New Roman" w:hAnsi="Times New Roman" w:cs="Times New Roman"/>
                <w:color w:val="#000000"/>
                <w:sz w:val="22"/>
                <w:szCs w:val="22"/>
              </w:rPr>
              <w:t> Русский язык в профессиональной сфере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Планирование профессии и карьеры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p>
            <w:pPr>
              <w:jc w:val="center"/>
              <w:spacing w:after="0" w:line="240" w:lineRule="auto"/>
              <w:rPr>
                <w:sz w:val="22"/>
                <w:szCs w:val="22"/>
              </w:rPr>
            </w:pPr>
            <w:r>
              <w:rPr>
                <w:rFonts w:ascii="Times New Roman" w:hAnsi="Times New Roman" w:cs="Times New Roman"/>
                <w:color w:val="#000000"/>
                <w:sz w:val="22"/>
                <w:szCs w:val="22"/>
              </w:rPr>
              <w:t> Особенности профессиональной деятельности преподавателя современного вуза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Профессиональное становление студента вуза</w:t>
            </w:r>
          </w:p>
          <w:p>
            <w:pPr>
              <w:jc w:val="center"/>
              <w:spacing w:after="0" w:line="240" w:lineRule="auto"/>
              <w:rPr>
                <w:sz w:val="22"/>
                <w:szCs w:val="22"/>
              </w:rPr>
            </w:pPr>
            <w:r>
              <w:rPr>
                <w:rFonts w:ascii="Times New Roman" w:hAnsi="Times New Roman" w:cs="Times New Roman"/>
                <w:color w:val="#000000"/>
                <w:sz w:val="22"/>
                <w:szCs w:val="22"/>
              </w:rPr>
              <w:t> Самостоятельная учебная и научно- исследовательская работа студента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Перевод текстов педагогической направленности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переводческих трансформаций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Практические задания для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Чтение и аудирование текстов педагогической направленности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Исследовательские компетенции педагога и совершенствование умений в области чтения и аудирования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English as a global language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Education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Profession of teacher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Практические задания для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Реферирование и аннотирование текстов.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реферирования текста.Структра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Methodology. Core skills in learning and teaching.</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Практические задания для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Представление научного исследования по педагогике на русском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The standard methodology of writing the academic paper.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Практические задания для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595.36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переводческих трансформаций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термина "Перевод". Стратегия перевода. Виды переводческих трансормаций. Прямая передача или нулевая трансформация. Транслитерация. Переводческая компенсация. Модуляция. Опущение. Лексическая замена. Транспозиция.Калькирование. Антонимичный перевод.Грамматическая замена.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Исследовательские компетенции педагога и совершенствование умений в области чтения и аудирования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чтения: просмотровое, поисковое, ознакомительное, изучающее, коммуникативное. Аудирование, как вид речевой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English as a global language</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Go Globish. English as a Global Language. Linguistic power. English Next.</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Education</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Educational Revolution. Education in Modermity. International Student Moderniry. International Student Mobility. The Globalisation of Universities.</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Profession of teacher</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Definition of a profession. Three Kinds of a Teacher. Teaching Art or Science? Researching Characteristic of the Expert Teacher. What are Characteristic Behavior of Effective Teacher? Teacher Development. Begin Collaborating.</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реферирования текста.Структра реферата.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термина реферирование. Этапы рефрирования. авыки и умеия, необходимые для написания реферата. Смысловая структура и разделы реферата. Способы изложения реферата.Порядок работы при подготовке реферата. Аннотирование. Ключевые стратегии написания реферата. Речевые модели (клише), используемые для написания рефератов и аннотаций.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Methodology. Core skills in learning and teaching.</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Methodology. CLIL.Planning and Monitoring CLIL. Method. Technique. Maximizing Student Interaction in Class. Procedure. Types of Assessment. Core skills in Learning and Teaching. Multiple intelligence Checklist. Linking Learners to Activity Types.Learning Skills. What are LOTS and HOTS? Critical thinking Skills. Problem Solving skills.</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The standard methodology of writing the academic paper.</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Background reading. Writing the Papers: the Process. Methodology.</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в профессиональной коммуникации» / Просвирнина Л.Г..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педагогов:</w:t>
            </w:r>
            <w:r>
              <w:rPr/>
              <w:t xml:space="preserve"> </w:t>
            </w:r>
            <w:r>
              <w:rPr>
                <w:rFonts w:ascii="Times New Roman" w:hAnsi="Times New Roman" w:cs="Times New Roman"/>
                <w:color w:val="#000000"/>
                <w:sz w:val="24"/>
                <w:szCs w:val="24"/>
              </w:rPr>
              <w:t>academic</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(B1–B2)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Крупченко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Прилипко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https://urait.ru/bcode/455916</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https://urait.ru/bcode/451963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педагогов</w:t>
            </w:r>
            <w:r>
              <w:rPr/>
              <w:t xml:space="preserve"> </w:t>
            </w:r>
            <w:r>
              <w:rPr>
                <w:rFonts w:ascii="Times New Roman" w:hAnsi="Times New Roman" w:cs="Times New Roman"/>
                <w:color w:val="#000000"/>
                <w:sz w:val="24"/>
                <w:szCs w:val="24"/>
              </w:rPr>
              <w:t>(A2)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Мичугина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https://urait.ru/bcode/456262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34.67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80.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155.5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2022-2023_ФГОС3++2022_Маг-ОФО-ПО(НО)(22)_plx_Иностранный язык в профессиональной коммуникации</dc:title>
  <dc:creator>FastReport.NET</dc:creator>
</cp:coreProperties>
</file>